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rStyle w:val="Strong"/>
        </w:rPr>
        <w:t>ГУЗ «Тульский областной центр медицинской профилактики  и реабилитации им. Я. С. Стечкина» является бюджетным учреждением</w:t>
      </w:r>
      <w:r>
        <w:rPr/>
        <w:t>, финансовое обеспечение выполнения функций которого, в том числе по оказанию государственных работ (оказание медицинской помощи в ранний, поздний периоды, период остаточных явлений течения заболевания, при хроническом течении заболевания вне обострения пациентам, при наличии подтвержденной результатами обследования перспективы восстановления функций (реабилитационного потенциала), независимым в повседневной жизни при осуществлении самообслуживания, перемещения и общения в амбулаторно-поликлинических учреждениях) физическим и юридическим лицам в соответствии с государственным заданием, осуществляется за счет средств соответствующего бюджета:</w:t>
      </w:r>
    </w:p>
    <w:p>
      <w:pPr>
        <w:pStyle w:val="Normal"/>
        <w:bidi w:val="0"/>
        <w:jc w:val="left"/>
        <w:rPr/>
      </w:pPr>
      <w:r>
        <w:rPr/>
        <w:t> </w:t>
      </w:r>
    </w:p>
    <w:p>
      <w:pPr>
        <w:pStyle w:val="Normal"/>
        <w:bidi w:val="0"/>
        <w:jc w:val="left"/>
        <w:rPr/>
      </w:pPr>
      <w:r>
        <w:rPr/>
        <w:t>1. Лечебно-диагностическая и консультативная помощь по восстановительному лечению: консультации — консультативная помощь врачами-специалистами</w:t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Врач-физиотерапевт</w:t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Врач-невролог</w:t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Врач функциональной диагностики</w:t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Врач акушер-гинеколог</w:t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Врач-кардиолог</w:t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Врач-оториноларинголог</w:t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Врач лечебной физкультуры</w:t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Врач травматолог-ортопед</w:t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Врач по спортивной медицине</w:t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Врач-педиатр</w:t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Врач-офтальмолог</w:t>
      </w:r>
    </w:p>
    <w:p>
      <w:pPr>
        <w:pStyle w:val="Normal"/>
        <w:bidi w:val="0"/>
        <w:jc w:val="left"/>
        <w:rPr/>
      </w:pPr>
      <w:r>
        <w:rPr/>
        <w:t> </w:t>
      </w:r>
    </w:p>
    <w:p>
      <w:pPr>
        <w:pStyle w:val="Normal"/>
        <w:bidi w:val="0"/>
        <w:jc w:val="left"/>
        <w:rPr/>
      </w:pPr>
      <w:r>
        <w:rPr/>
        <w:t>2. Лечебно-диагностическая и консультативная помощь по восстановительному лечению: процедуры</w:t>
      </w:r>
    </w:p>
    <w:p>
      <w:pPr>
        <w:pStyle w:val="Normal"/>
        <w:numPr>
          <w:ilvl w:val="4"/>
          <w:numId w:val="3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Лечебный массаж</w:t>
      </w:r>
    </w:p>
    <w:p>
      <w:pPr>
        <w:pStyle w:val="Normal"/>
        <w:numPr>
          <w:ilvl w:val="4"/>
          <w:numId w:val="3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Грязелечение</w:t>
      </w:r>
    </w:p>
    <w:p>
      <w:pPr>
        <w:pStyle w:val="Normal"/>
        <w:numPr>
          <w:ilvl w:val="4"/>
          <w:numId w:val="3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Бальнеотерапия</w:t>
      </w:r>
    </w:p>
    <w:p>
      <w:pPr>
        <w:pStyle w:val="Normal"/>
        <w:numPr>
          <w:ilvl w:val="4"/>
          <w:numId w:val="3"/>
        </w:numPr>
        <w:tabs>
          <w:tab w:val="clear" w:pos="709"/>
          <w:tab w:val="left" w:pos="3545" w:leader="none"/>
        </w:tabs>
        <w:bidi w:val="0"/>
        <w:ind w:hanging="283" w:left="3545"/>
        <w:jc w:val="left"/>
        <w:rPr/>
      </w:pPr>
      <w:r>
        <w:rPr/>
        <w:t>Физиотерапия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Open San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Heading5">
    <w:name w:val="Heading 5"/>
    <w:basedOn w:val="Style14"/>
    <w:next w:val="BodyText"/>
    <w:qFormat/>
    <w:pPr>
      <w:spacing w:before="120" w:after="60"/>
      <w:outlineLvl w:val="4"/>
    </w:pPr>
    <w:rPr>
      <w:rFonts w:ascii="Tempora LGC Uni" w:hAnsi="Tempora LGC Uni" w:eastAsia="Tahoma" w:cs="Lohit Devanagari"/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145</Words>
  <Characters>1181</Characters>
  <CharactersWithSpaces>1297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2024-07-03T10:14:35Z</dcterms:created>
  <dc:creator/>
  <dc:description/>
  <dc:language>ru-RU</dc:language>
  <cp:lastModifiedBy/>
  <dcterms:modified xsi:type="dcterms:W3CDTF">2024-07-03T10:15:45Z</dcterms:modified>
  <cp:revision>1</cp:revision>
  <dc:subject/>
  <dc:title/>
</cp:coreProperties>
</file>